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803685">
        <w:rPr>
          <w:sz w:val="28"/>
        </w:rPr>
        <w:t>Parkhaus</w:t>
      </w:r>
    </w:p>
    <w:p w:rsidR="00694A63" w:rsidRPr="00694A63" w:rsidRDefault="00694A63">
      <w:pPr>
        <w:pStyle w:val="IQB-Teilaufgabentitel"/>
        <w:rPr>
          <w:b/>
        </w:rPr>
      </w:pPr>
      <w:r w:rsidRPr="00694A63">
        <w:rPr>
          <w:b/>
        </w:rPr>
        <w:t>Merkmal</w:t>
      </w:r>
      <w:r w:rsidR="00220FFD">
        <w:rPr>
          <w:b/>
        </w:rPr>
        <w:t>e</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803685" w:rsidTr="00803685">
        <w:tc>
          <w:tcPr>
            <w:tcW w:w="2466" w:type="dxa"/>
            <w:tcBorders>
              <w:top w:val="single" w:sz="4" w:space="0" w:color="auto"/>
            </w:tcBorders>
            <w:vAlign w:val="center"/>
          </w:tcPr>
          <w:p w:rsidR="00803685" w:rsidRDefault="00803685" w:rsidP="00430685">
            <w:pPr>
              <w:pStyle w:val="IQB-Merkmal"/>
            </w:pPr>
            <w:r>
              <w:t>Leitidee</w:t>
            </w:r>
          </w:p>
        </w:tc>
        <w:tc>
          <w:tcPr>
            <w:tcW w:w="6604" w:type="dxa"/>
            <w:tcBorders>
              <w:top w:val="single" w:sz="4" w:space="0" w:color="auto"/>
            </w:tcBorders>
          </w:tcPr>
          <w:p w:rsidR="00803685" w:rsidRDefault="00803685" w:rsidP="00430685">
            <w:pPr>
              <w:pStyle w:val="IQB-Merkmalswert"/>
            </w:pPr>
            <w:r>
              <w:t>4. Funktionaler Zusammenhang</w:t>
            </w:r>
          </w:p>
        </w:tc>
      </w:tr>
      <w:tr w:rsidR="00803685" w:rsidTr="00803685">
        <w:tc>
          <w:tcPr>
            <w:tcW w:w="2466" w:type="dxa"/>
            <w:vAlign w:val="center"/>
          </w:tcPr>
          <w:p w:rsidR="00803685" w:rsidRDefault="00803685" w:rsidP="00430685">
            <w:pPr>
              <w:pStyle w:val="IQB-Merkmal"/>
            </w:pPr>
            <w:r>
              <w:t>Allgemeine Kompetenz</w:t>
            </w:r>
          </w:p>
        </w:tc>
        <w:tc>
          <w:tcPr>
            <w:tcW w:w="6604" w:type="dxa"/>
          </w:tcPr>
          <w:p w:rsidR="00803685" w:rsidRDefault="00803685" w:rsidP="00430685">
            <w:pPr>
              <w:pStyle w:val="IQB-Merkmalswert"/>
            </w:pPr>
            <w:r>
              <w:t>Mathematisches Modellieren (K3),</w:t>
            </w:r>
          </w:p>
          <w:p w:rsidR="00803685" w:rsidRDefault="00803685" w:rsidP="00430685">
            <w:pPr>
              <w:pStyle w:val="IQB-Merkmalswert"/>
            </w:pPr>
            <w:r>
              <w:t>Mathematische Darstellungen verwenden (K4),</w:t>
            </w:r>
          </w:p>
          <w:p w:rsidR="00803685" w:rsidRDefault="00803685" w:rsidP="00430685">
            <w:pPr>
              <w:pStyle w:val="IQB-Merkmalswert"/>
            </w:pPr>
            <w:r>
              <w:t>Mit Mathematik symbolisch/ formal/ technisch umgehen (K5)</w:t>
            </w:r>
          </w:p>
        </w:tc>
      </w:tr>
      <w:tr w:rsidR="00803685" w:rsidTr="00803685">
        <w:tc>
          <w:tcPr>
            <w:tcW w:w="2466" w:type="dxa"/>
            <w:vAlign w:val="center"/>
          </w:tcPr>
          <w:p w:rsidR="00803685" w:rsidRDefault="00803685" w:rsidP="00430685">
            <w:pPr>
              <w:pStyle w:val="IQB-Merkmal"/>
            </w:pPr>
            <w:r>
              <w:t>Anforderungsbereich</w:t>
            </w:r>
          </w:p>
        </w:tc>
        <w:tc>
          <w:tcPr>
            <w:tcW w:w="6604" w:type="dxa"/>
          </w:tcPr>
          <w:p w:rsidR="00803685" w:rsidRDefault="00803685" w:rsidP="00430685">
            <w:pPr>
              <w:pStyle w:val="IQB-Merkmalswert"/>
            </w:pPr>
            <w:r>
              <w:t>II</w:t>
            </w:r>
          </w:p>
        </w:tc>
      </w:tr>
      <w:tr w:rsidR="00803685" w:rsidTr="00803685">
        <w:tc>
          <w:tcPr>
            <w:tcW w:w="2466" w:type="dxa"/>
            <w:tcBorders>
              <w:bottom w:val="single" w:sz="4" w:space="0" w:color="auto"/>
            </w:tcBorders>
            <w:vAlign w:val="center"/>
          </w:tcPr>
          <w:p w:rsidR="00803685" w:rsidRDefault="00803685" w:rsidP="00430685">
            <w:pPr>
              <w:pStyle w:val="IQB-Merkmal"/>
            </w:pPr>
            <w:r>
              <w:t>Kompetenzstufe</w:t>
            </w:r>
          </w:p>
        </w:tc>
        <w:tc>
          <w:tcPr>
            <w:tcW w:w="6604" w:type="dxa"/>
            <w:tcBorders>
              <w:bottom w:val="single" w:sz="4" w:space="0" w:color="auto"/>
            </w:tcBorders>
          </w:tcPr>
          <w:p w:rsidR="00803685" w:rsidRDefault="00803685" w:rsidP="00430685">
            <w:pPr>
              <w:pStyle w:val="IQB-Merkmalswert"/>
            </w:pPr>
            <w:r>
              <w:t>4</w:t>
            </w:r>
          </w:p>
        </w:tc>
      </w:tr>
    </w:tbl>
    <w:p w:rsidR="00694A63" w:rsidRPr="00694A63" w:rsidRDefault="00694A63" w:rsidP="00694A63">
      <w:pPr>
        <w:pStyle w:val="IQB-Teilaufgabentitel"/>
        <w:rPr>
          <w:b/>
        </w:rPr>
      </w:pPr>
      <w:r w:rsidRPr="00694A63">
        <w:rPr>
          <w:b/>
        </w:rPr>
        <w:t>Aufgabenbezogener Kommentar</w:t>
      </w:r>
    </w:p>
    <w:p w:rsidR="00803685" w:rsidRPr="0051721E" w:rsidRDefault="00803685" w:rsidP="00803685">
      <w:pPr>
        <w:pStyle w:val="IQB-Standard"/>
        <w:rPr>
          <w:sz w:val="22"/>
          <w:szCs w:val="22"/>
        </w:rPr>
      </w:pPr>
      <w:r w:rsidRPr="0051721E">
        <w:rPr>
          <w:sz w:val="22"/>
          <w:szCs w:val="22"/>
        </w:rPr>
        <w:t>In beiden Teilaufgaben geht es um einen funktionalen Zusammenhang zwischen Parkzeit und Parkgebühren in einem Parkhaus (L4).</w:t>
      </w:r>
    </w:p>
    <w:p w:rsidR="00803685" w:rsidRPr="0051721E" w:rsidRDefault="00803685" w:rsidP="00803685">
      <w:pPr>
        <w:pStyle w:val="IQB-Standard"/>
        <w:rPr>
          <w:sz w:val="22"/>
          <w:szCs w:val="22"/>
        </w:rPr>
      </w:pPr>
      <w:r w:rsidRPr="0051721E">
        <w:rPr>
          <w:sz w:val="22"/>
          <w:szCs w:val="22"/>
        </w:rPr>
        <w:t>In der Aufgabenstellung ist eine Kostentafel gegeben, die in dieser Form auch in einem echten Parkhaus zu finden sein könnte. Die fälligen Parkgebühren steigen hiernach nicht etwa proportional zur Parkzeit an, sondern es handelt sich um einen degressiv verlaufenden Stufentarif. In beiden Teilaufgaben sollen die Informationen auf der Kostentafel in mathematische Darstellungsformen übersetzt werden (K3, K4): In Teilaufgabe 1 ist eine Wertetabelle zu ergänzen und in Teilaufgabe 2 ein Funktionsgraph. Die Lernenden müssen also mit der tabellarischen bzw. graphischen Darstellungsform einer stückweise definierten Funktion arbeiten (K5).</w:t>
      </w:r>
    </w:p>
    <w:p w:rsidR="00803685" w:rsidRPr="0051721E" w:rsidRDefault="00803685" w:rsidP="00803685">
      <w:pPr>
        <w:pStyle w:val="IQB-Standard"/>
        <w:rPr>
          <w:sz w:val="22"/>
          <w:szCs w:val="22"/>
        </w:rPr>
      </w:pPr>
      <w:r w:rsidRPr="0051721E">
        <w:rPr>
          <w:sz w:val="22"/>
          <w:szCs w:val="22"/>
        </w:rPr>
        <w:t>Die erste Teilaufgabe wird dem Anforderungsbereich I zugeordnet, weil hier nur wenige konkrete Daten aus einer stark vorstrukturierten Realsituation gewonnen werden müssen. In der zweiten Teilaufgabe müssen dagegen allgemeinere Zusammenhänge von der Realsituation in ein mathematisches Modell übertragen werden, das den Schülerinnen und Schülern weniger vertraut ist. Es handelt sich hier daher um Anforderungsbereich II.</w:t>
      </w:r>
    </w:p>
    <w:p w:rsidR="00694A63" w:rsidRPr="00694A63" w:rsidRDefault="00694A63" w:rsidP="00694A63">
      <w:pPr>
        <w:pStyle w:val="IQB-Teilaufgabentitel"/>
        <w:rPr>
          <w:b/>
        </w:rPr>
      </w:pPr>
      <w:r w:rsidRPr="00694A63">
        <w:rPr>
          <w:b/>
        </w:rPr>
        <w:t>Anregungen für den Unterricht</w:t>
      </w:r>
    </w:p>
    <w:p w:rsidR="00803685" w:rsidRPr="00803685" w:rsidRDefault="00803685" w:rsidP="00803685">
      <w:pPr>
        <w:pStyle w:val="IQB-Standard"/>
        <w:rPr>
          <w:rFonts w:cs="Arial"/>
          <w:sz w:val="22"/>
          <w:szCs w:val="22"/>
        </w:rPr>
      </w:pPr>
      <w:r w:rsidRPr="00803685">
        <w:rPr>
          <w:rFonts w:cs="Arial"/>
          <w:sz w:val="22"/>
          <w:szCs w:val="22"/>
        </w:rPr>
        <w:t>Mathematikhaltige Formulierungen der Schriftsprache in geeignete mathematische Darstellungsarten (z.</w:t>
      </w:r>
      <w:r w:rsidRPr="00803685">
        <w:rPr>
          <w:rFonts w:cs="Arial"/>
          <w:sz w:val="11"/>
          <w:szCs w:val="11"/>
        </w:rPr>
        <w:t xml:space="preserve"> </w:t>
      </w:r>
      <w:r w:rsidRPr="00803685">
        <w:rPr>
          <w:rFonts w:cs="Arial"/>
          <w:sz w:val="22"/>
          <w:szCs w:val="22"/>
        </w:rPr>
        <w:t>B. Tabellen und Graphen) zu übertragen (K4), stellt für viele Schülerinnen und Schüler eine gewisse Hürde dar. Im Folgenden soll dies an ausgewählten Schülerlösungen zu der obigen Aufgabe illustriert werden.</w:t>
      </w:r>
    </w:p>
    <w:p w:rsidR="00803685" w:rsidRPr="00803685" w:rsidRDefault="00803685" w:rsidP="00803685">
      <w:pPr>
        <w:pStyle w:val="IQB-Standard"/>
        <w:rPr>
          <w:rFonts w:cs="Arial"/>
          <w:sz w:val="22"/>
          <w:szCs w:val="22"/>
        </w:rPr>
      </w:pPr>
    </w:p>
    <w:p w:rsidR="00803685" w:rsidRPr="00803685" w:rsidRDefault="00803685" w:rsidP="00803685">
      <w:pPr>
        <w:rPr>
          <w:rFonts w:ascii="Arial" w:hAnsi="Arial" w:cs="Arial"/>
          <w:sz w:val="22"/>
          <w:szCs w:val="22"/>
        </w:rPr>
      </w:pPr>
      <w:r w:rsidRPr="00803685">
        <w:rPr>
          <w:rFonts w:ascii="Arial" w:hAnsi="Arial" w:cs="Arial"/>
          <w:b/>
          <w:sz w:val="22"/>
          <w:szCs w:val="22"/>
        </w:rPr>
        <w:t xml:space="preserve">Beispiel 1: </w:t>
      </w:r>
      <w:r w:rsidRPr="00803685">
        <w:rPr>
          <w:rFonts w:ascii="Arial" w:hAnsi="Arial" w:cs="Arial"/>
          <w:sz w:val="22"/>
          <w:szCs w:val="22"/>
        </w:rPr>
        <w:t>Die Formulierungen aus der Kostentafel („bis 2 Stunden“, „jede weitere angefangene Stunde“, „ab neun Stunden gleichbleibend“) können fehlerhaft interpretiert und deshalb falsch in die tabellarische Darstellungsform übertragen werden. In den folgenden beiden Schülerlösungen wird etwa der Ausdruck „bis 2 Stunden“ in unterschiedlicher Weise fehlinterpretiert. Den Schülerinnen und Schülern war zu Teil nicht klar, dass bis 2 Stunden auch bereits für die erste Stunde gilt und ab der 3. Stunde dann auch nicht mehr gilt. So wird die Tabelle um falsche Werte ergänzt:</w:t>
      </w:r>
    </w:p>
    <w:p w:rsidR="00803685" w:rsidRDefault="00803685" w:rsidP="00803685">
      <w:pPr>
        <w:pStyle w:val="IQB-Standard"/>
        <w:keepNext/>
        <w:rPr>
          <w:rFonts w:cs="Arial"/>
          <w:sz w:val="22"/>
          <w:szCs w:val="22"/>
        </w:rPr>
      </w:pPr>
      <w:r w:rsidRPr="00803685">
        <w:rPr>
          <w:rFonts w:cs="Arial"/>
          <w:noProof/>
          <w:sz w:val="22"/>
          <w:szCs w:val="22"/>
        </w:rPr>
        <w:drawing>
          <wp:inline distT="0" distB="0" distL="0" distR="0">
            <wp:extent cx="2442845" cy="655320"/>
            <wp:effectExtent l="0" t="0" r="0" b="0"/>
            <wp:docPr id="12" name="Grafik 12" descr="Beschreibung: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descr="Beschreibung: 13.png"/>
                    <pic:cNvPicPr>
                      <a:picLocks noChangeAspect="1" noChangeArrowheads="1"/>
                    </pic:cNvPicPr>
                  </pic:nvPicPr>
                  <pic:blipFill>
                    <a:blip r:embed="rId8">
                      <a:extLst>
                        <a:ext uri="{28A0092B-C50C-407E-A947-70E740481C1C}">
                          <a14:useLocalDpi xmlns:a14="http://schemas.microsoft.com/office/drawing/2010/main" val="0"/>
                        </a:ext>
                      </a:extLst>
                    </a:blip>
                    <a:srcRect t="9213" b="7117"/>
                    <a:stretch>
                      <a:fillRect/>
                    </a:stretch>
                  </pic:blipFill>
                  <pic:spPr bwMode="auto">
                    <a:xfrm>
                      <a:off x="0" y="0"/>
                      <a:ext cx="2442845" cy="655320"/>
                    </a:xfrm>
                    <a:prstGeom prst="rect">
                      <a:avLst/>
                    </a:prstGeom>
                    <a:noFill/>
                    <a:ln>
                      <a:noFill/>
                    </a:ln>
                  </pic:spPr>
                </pic:pic>
              </a:graphicData>
            </a:graphic>
          </wp:inline>
        </w:drawing>
      </w:r>
    </w:p>
    <w:p w:rsidR="00803685" w:rsidRPr="00803685" w:rsidRDefault="00803685" w:rsidP="00803685">
      <w:pPr>
        <w:pStyle w:val="IQB-Standard"/>
        <w:keepNext/>
        <w:rPr>
          <w:rFonts w:cs="Arial"/>
          <w:sz w:val="22"/>
          <w:szCs w:val="22"/>
        </w:rPr>
      </w:pPr>
    </w:p>
    <w:p w:rsidR="00803685" w:rsidRPr="00803685" w:rsidRDefault="00803685" w:rsidP="00803685">
      <w:pPr>
        <w:pStyle w:val="IQB-Standard"/>
        <w:rPr>
          <w:rFonts w:cs="Arial"/>
          <w:sz w:val="22"/>
          <w:szCs w:val="22"/>
        </w:rPr>
      </w:pPr>
      <w:r w:rsidRPr="00803685">
        <w:rPr>
          <w:rFonts w:cs="Arial"/>
          <w:b/>
          <w:sz w:val="22"/>
          <w:szCs w:val="22"/>
        </w:rPr>
        <w:t>Beispiel 2:</w:t>
      </w:r>
      <w:r w:rsidRPr="00803685">
        <w:rPr>
          <w:rFonts w:cs="Arial"/>
          <w:sz w:val="22"/>
          <w:szCs w:val="22"/>
        </w:rPr>
        <w:t xml:space="preserve"> In einer Schülerlösung werden die Gebühren für 2,5 Stunden fälschlicherweise durch Addition der Gebührenangaben für „bis zwei Stunden“ und für „jede weitere angefangene Stunde“ berechnet, statt die Gebührenangabe für „bis 3 Stunden“ zu verwenden.</w:t>
      </w:r>
    </w:p>
    <w:p w:rsidR="00803685" w:rsidRPr="00803685" w:rsidRDefault="00803685" w:rsidP="00803685">
      <w:pPr>
        <w:pStyle w:val="IQB-Standard"/>
        <w:keepNext/>
        <w:rPr>
          <w:rFonts w:cs="Arial"/>
          <w:sz w:val="22"/>
          <w:szCs w:val="22"/>
        </w:rPr>
      </w:pPr>
      <w:r w:rsidRPr="00803685">
        <w:rPr>
          <w:rFonts w:cs="Arial"/>
          <w:noProof/>
          <w:sz w:val="22"/>
          <w:szCs w:val="22"/>
        </w:rPr>
        <w:drawing>
          <wp:inline distT="0" distB="0" distL="0" distR="0">
            <wp:extent cx="546100" cy="682625"/>
            <wp:effectExtent l="0" t="0" r="6350" b="317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6100" cy="682625"/>
                    </a:xfrm>
                    <a:prstGeom prst="rect">
                      <a:avLst/>
                    </a:prstGeom>
                    <a:noFill/>
                    <a:ln>
                      <a:noFill/>
                    </a:ln>
                  </pic:spPr>
                </pic:pic>
              </a:graphicData>
            </a:graphic>
          </wp:inline>
        </w:drawing>
      </w:r>
    </w:p>
    <w:p w:rsidR="00803685" w:rsidRPr="00803685" w:rsidRDefault="00803685" w:rsidP="00803685">
      <w:pPr>
        <w:pStyle w:val="IQB-Standard"/>
        <w:rPr>
          <w:rFonts w:cs="Arial"/>
          <w:b/>
          <w:sz w:val="22"/>
          <w:szCs w:val="22"/>
        </w:rPr>
      </w:pPr>
    </w:p>
    <w:p w:rsidR="00803685" w:rsidRPr="00803685" w:rsidRDefault="00803685" w:rsidP="00803685">
      <w:pPr>
        <w:pStyle w:val="IQB-Standard"/>
        <w:rPr>
          <w:rFonts w:cs="Arial"/>
          <w:sz w:val="22"/>
          <w:szCs w:val="22"/>
        </w:rPr>
      </w:pPr>
      <w:r w:rsidRPr="00803685">
        <w:rPr>
          <w:rFonts w:cs="Arial"/>
          <w:b/>
          <w:sz w:val="22"/>
          <w:szCs w:val="22"/>
        </w:rPr>
        <w:lastRenderedPageBreak/>
        <w:t>Beispiel 3:</w:t>
      </w:r>
      <w:r w:rsidRPr="00803685">
        <w:rPr>
          <w:rFonts w:cs="Arial"/>
          <w:sz w:val="22"/>
          <w:szCs w:val="22"/>
        </w:rPr>
        <w:t xml:space="preserve"> Dieser Schülerlösung liegt vermutlich die Annahme zugrunde, dass der funktionale Zusammenhang innerhalb der auf der Kostentafel angegebenen Stufen jeweils proportional ist.</w:t>
      </w:r>
    </w:p>
    <w:p w:rsidR="00803685" w:rsidRDefault="00803685" w:rsidP="00803685">
      <w:pPr>
        <w:pStyle w:val="IQB-Standard"/>
        <w:keepNext/>
        <w:rPr>
          <w:rFonts w:cs="Arial"/>
          <w:sz w:val="22"/>
          <w:szCs w:val="22"/>
        </w:rPr>
      </w:pPr>
      <w:r w:rsidRPr="00803685">
        <w:rPr>
          <w:rFonts w:cs="Arial"/>
          <w:noProof/>
          <w:sz w:val="22"/>
          <w:szCs w:val="22"/>
        </w:rPr>
        <w:drawing>
          <wp:inline distT="0" distB="0" distL="0" distR="0">
            <wp:extent cx="546100" cy="709930"/>
            <wp:effectExtent l="0" t="0" r="635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6100" cy="709930"/>
                    </a:xfrm>
                    <a:prstGeom prst="rect">
                      <a:avLst/>
                    </a:prstGeom>
                    <a:noFill/>
                    <a:ln>
                      <a:noFill/>
                    </a:ln>
                  </pic:spPr>
                </pic:pic>
              </a:graphicData>
            </a:graphic>
          </wp:inline>
        </w:drawing>
      </w:r>
    </w:p>
    <w:p w:rsidR="00803685" w:rsidRPr="00803685" w:rsidRDefault="00803685" w:rsidP="00803685">
      <w:pPr>
        <w:pStyle w:val="IQB-Standard"/>
        <w:keepNext/>
        <w:rPr>
          <w:rFonts w:cs="Arial"/>
          <w:sz w:val="22"/>
          <w:szCs w:val="22"/>
        </w:rPr>
      </w:pPr>
    </w:p>
    <w:p w:rsidR="00803685" w:rsidRPr="00803685" w:rsidRDefault="00803685" w:rsidP="00803685">
      <w:pPr>
        <w:pStyle w:val="IQB-Standard"/>
        <w:rPr>
          <w:rFonts w:cs="Arial"/>
          <w:sz w:val="22"/>
          <w:szCs w:val="22"/>
        </w:rPr>
      </w:pPr>
      <w:r w:rsidRPr="00803685">
        <w:rPr>
          <w:rFonts w:cs="Arial"/>
          <w:b/>
          <w:sz w:val="22"/>
          <w:szCs w:val="22"/>
        </w:rPr>
        <w:t>Beispiel 4:</w:t>
      </w:r>
      <w:r w:rsidRPr="00803685">
        <w:rPr>
          <w:rFonts w:cs="Arial"/>
          <w:sz w:val="22"/>
          <w:szCs w:val="22"/>
        </w:rPr>
        <w:t xml:space="preserve"> In einer Schülerlösung zum Aufgabenteil 2 könnte ein vermuteter proportionaler Zusammenhang von Parkzeit und Gebühren innerhalb der ersten Kostenstufe zur fehlerhaften Lösung geführt haben. Aus der Angabe auf der Kostentafel, dass „bis 2 Stunden“ Gebühren in der Höhe von 4€ anfallen, wird womöglich gefolgert, dass für eine Stunde entsprechend 2€ Gebühren anfallen müssen.</w:t>
      </w:r>
    </w:p>
    <w:p w:rsidR="00803685" w:rsidRPr="00803685" w:rsidRDefault="00803685" w:rsidP="00803685">
      <w:pPr>
        <w:pStyle w:val="IQB-Standard"/>
        <w:keepNext/>
        <w:rPr>
          <w:rFonts w:cs="Arial"/>
          <w:sz w:val="22"/>
          <w:szCs w:val="22"/>
        </w:rPr>
      </w:pPr>
      <w:r w:rsidRPr="00803685">
        <w:rPr>
          <w:rFonts w:cs="Arial"/>
          <w:noProof/>
          <w:sz w:val="22"/>
          <w:szCs w:val="22"/>
        </w:rPr>
        <w:drawing>
          <wp:inline distT="0" distB="0" distL="0" distR="0">
            <wp:extent cx="2552065" cy="2838450"/>
            <wp:effectExtent l="0" t="0" r="63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52065" cy="2838450"/>
                    </a:xfrm>
                    <a:prstGeom prst="rect">
                      <a:avLst/>
                    </a:prstGeom>
                    <a:noFill/>
                    <a:ln>
                      <a:noFill/>
                    </a:ln>
                  </pic:spPr>
                </pic:pic>
              </a:graphicData>
            </a:graphic>
          </wp:inline>
        </w:drawing>
      </w:r>
    </w:p>
    <w:p w:rsidR="00803685" w:rsidRPr="00803685" w:rsidRDefault="00803685" w:rsidP="00803685">
      <w:pPr>
        <w:pStyle w:val="IQB-Standard"/>
        <w:rPr>
          <w:rFonts w:cs="Arial"/>
          <w:sz w:val="22"/>
          <w:szCs w:val="22"/>
        </w:rPr>
      </w:pPr>
    </w:p>
    <w:p w:rsidR="00803685" w:rsidRPr="00803685" w:rsidRDefault="00803685" w:rsidP="00803685">
      <w:pPr>
        <w:pStyle w:val="IQB-Standard"/>
        <w:spacing w:before="120" w:after="120"/>
        <w:rPr>
          <w:rFonts w:cs="Arial"/>
          <w:sz w:val="22"/>
          <w:szCs w:val="22"/>
        </w:rPr>
      </w:pPr>
      <w:r w:rsidRPr="00803685">
        <w:rPr>
          <w:rFonts w:cs="Arial"/>
          <w:sz w:val="22"/>
          <w:szCs w:val="22"/>
        </w:rPr>
        <w:t>Solche Fehlvorstellungen von Schülerinnen und Schülern können zum Anlass genommen werden, um Schwierigkeiten im Umgang mit mathematikhaltigen Texten und die damit verbundene Übertragung von Sprache in eine tabellarische oder graphische Darstellungsform (Darstellungswechsel) im Unterricht zu üben. Hierbei ist es sinnvoll, entsprechende Sachsituationen (entnommen aus authentischen Materialien, z.</w:t>
      </w:r>
      <w:r w:rsidRPr="00803685">
        <w:rPr>
          <w:rFonts w:cs="Arial"/>
          <w:sz w:val="11"/>
          <w:szCs w:val="11"/>
        </w:rPr>
        <w:t xml:space="preserve"> </w:t>
      </w:r>
      <w:r w:rsidRPr="00803685">
        <w:rPr>
          <w:rFonts w:cs="Arial"/>
          <w:sz w:val="22"/>
          <w:szCs w:val="22"/>
        </w:rPr>
        <w:t>B. originale Parkhaustarife) zeichnerisch darstellen zu lassen, da in dieser Darstellungsform Fehlvorstellungen (z.</w:t>
      </w:r>
      <w:r w:rsidRPr="00803685">
        <w:rPr>
          <w:rFonts w:cs="Arial"/>
          <w:sz w:val="11"/>
          <w:szCs w:val="11"/>
        </w:rPr>
        <w:t xml:space="preserve"> </w:t>
      </w:r>
      <w:r w:rsidRPr="00803685">
        <w:rPr>
          <w:rFonts w:cs="Arial"/>
          <w:sz w:val="22"/>
          <w:szCs w:val="22"/>
        </w:rPr>
        <w:t>B. in einem Plenumsgespräch) meist sehr gut bewusst gemacht und korrigiert werden können.</w:t>
      </w:r>
    </w:p>
    <w:p w:rsidR="00803685" w:rsidRPr="00803685" w:rsidRDefault="00803685" w:rsidP="00803685">
      <w:pPr>
        <w:pStyle w:val="IQB-Standard"/>
        <w:spacing w:before="120" w:after="120"/>
        <w:rPr>
          <w:rFonts w:cs="Arial"/>
          <w:sz w:val="22"/>
          <w:szCs w:val="22"/>
        </w:rPr>
      </w:pPr>
      <w:r w:rsidRPr="00803685">
        <w:rPr>
          <w:rFonts w:cs="Arial"/>
          <w:sz w:val="22"/>
          <w:szCs w:val="22"/>
        </w:rPr>
        <w:t xml:space="preserve">Oftmals ist es auch schon ausreichend, im Unterricht überhaupt auch abschnittsweise definierte Funktionen oder Funktionen mit Sprungstellen zu behandeln. Dabei wäre es wünschenswert, diese mit konkreten Beispielen aus der Erfahrungswelt der Lernenden in Verbindung zu bringen. Gerade für Situationen, die sich durch lineare bzw. stückweise lineare Funktionen beschreiben lassen, kann man viele interessante Beispiele finden. Bei </w:t>
      </w:r>
      <w:proofErr w:type="spellStart"/>
      <w:r w:rsidRPr="00803685">
        <w:rPr>
          <w:rFonts w:cs="Arial"/>
          <w:sz w:val="22"/>
          <w:szCs w:val="22"/>
        </w:rPr>
        <w:t>Greefrath</w:t>
      </w:r>
      <w:proofErr w:type="spellEnd"/>
      <w:r w:rsidRPr="00803685">
        <w:rPr>
          <w:rFonts w:cs="Arial"/>
          <w:sz w:val="22"/>
          <w:szCs w:val="22"/>
        </w:rPr>
        <w:t xml:space="preserve"> (2010) werden neben dem „Parkhausmodell“ noch die folgenden Typen beschrieben:</w:t>
      </w:r>
    </w:p>
    <w:p w:rsidR="00803685" w:rsidRPr="00803685" w:rsidRDefault="00803685" w:rsidP="00803685">
      <w:pPr>
        <w:pStyle w:val="IQB-Standard"/>
        <w:spacing w:before="120" w:after="120"/>
        <w:rPr>
          <w:rFonts w:cs="Arial"/>
          <w:sz w:val="22"/>
          <w:szCs w:val="22"/>
        </w:rPr>
      </w:pPr>
      <w:r w:rsidRPr="00803685">
        <w:rPr>
          <w:rFonts w:cs="Arial"/>
          <w:sz w:val="22"/>
          <w:szCs w:val="22"/>
        </w:rPr>
        <w:t>Im „klassischen Einkaufsmodell“ wird davon ausgegangen, dass beliebige Mengen einer Ware o.ä. gekauft werden können und der Preis mit zunehmender Menge gleichmäßig ansteigt, es also keine Rabatte gibt. Diese Preisgestaltung kann durch eine monoton wachsende proportionale Funktion beschrieben werden: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178"/>
      </w:tblGrid>
      <w:tr w:rsidR="00803685" w:rsidRPr="00803685" w:rsidTr="00430685">
        <w:tc>
          <w:tcPr>
            <w:tcW w:w="9178" w:type="dxa"/>
          </w:tcPr>
          <w:p w:rsidR="00803685" w:rsidRPr="00803685" w:rsidRDefault="00803685" w:rsidP="00430685">
            <w:pPr>
              <w:pStyle w:val="IQB-Standard"/>
              <w:keepNext/>
              <w:spacing w:before="120" w:after="120"/>
              <w:rPr>
                <w:rFonts w:cs="Arial"/>
                <w:sz w:val="22"/>
                <w:szCs w:val="22"/>
              </w:rPr>
            </w:pPr>
            <w:r w:rsidRPr="00803685">
              <w:rPr>
                <w:rFonts w:cs="Arial"/>
                <w:noProof/>
              </w:rPr>
              <w:lastRenderedPageBreak/>
              <mc:AlternateContent>
                <mc:Choice Requires="wps">
                  <w:drawing>
                    <wp:anchor distT="0" distB="0" distL="114297" distR="114297" simplePos="0" relativeHeight="251659264" behindDoc="0" locked="0" layoutInCell="1" allowOverlap="1">
                      <wp:simplePos x="0" y="0"/>
                      <wp:positionH relativeFrom="column">
                        <wp:posOffset>-123826</wp:posOffset>
                      </wp:positionH>
                      <wp:positionV relativeFrom="paragraph">
                        <wp:posOffset>-74295</wp:posOffset>
                      </wp:positionV>
                      <wp:extent cx="0" cy="1974850"/>
                      <wp:effectExtent l="19050" t="0" r="38100" b="44450"/>
                      <wp:wrapNone/>
                      <wp:docPr id="81" name="Gerader Verbinde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74850"/>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C2A1B7F" id="Gerader Verbinder 81" o:spid="_x0000_s1026" style="position:absolute;z-index:25165926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9.75pt,-5.85pt" to="-9.75pt,14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" strokecolor="#bfbfbf" strokeweight="4.5pt">
                      <o:lock v:ext="edit" shapetype="f"/>
                    </v:line>
                  </w:pict>
                </mc:Fallback>
              </mc:AlternateContent>
            </w:r>
            <w:r w:rsidRPr="00803685">
              <w:rPr>
                <w:rFonts w:cs="Arial"/>
                <w:noProof/>
                <w:sz w:val="22"/>
                <w:szCs w:val="22"/>
              </w:rPr>
              <w:drawing>
                <wp:inline distT="0" distB="0" distL="0" distR="0">
                  <wp:extent cx="1896745" cy="1664970"/>
                  <wp:effectExtent l="0" t="0" r="825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96745" cy="1664970"/>
                          </a:xfrm>
                          <a:prstGeom prst="rect">
                            <a:avLst/>
                          </a:prstGeom>
                          <a:noFill/>
                          <a:ln>
                            <a:noFill/>
                          </a:ln>
                        </pic:spPr>
                      </pic:pic>
                    </a:graphicData>
                  </a:graphic>
                </wp:inline>
              </w:drawing>
            </w:r>
          </w:p>
        </w:tc>
      </w:tr>
    </w:tbl>
    <w:p w:rsidR="00803685" w:rsidRPr="00803685" w:rsidRDefault="00803685" w:rsidP="00803685">
      <w:pPr>
        <w:rPr>
          <w:rFonts w:ascii="Arial" w:hAnsi="Arial" w:cs="Arial"/>
        </w:rPr>
      </w:pPr>
    </w:p>
    <w:p w:rsidR="00803685" w:rsidRPr="00803685" w:rsidRDefault="00803685" w:rsidP="00803685">
      <w:pPr>
        <w:rPr>
          <w:rFonts w:ascii="Arial" w:hAnsi="Arial" w:cs="Arial"/>
          <w:sz w:val="18"/>
        </w:rPr>
      </w:pPr>
      <w:r w:rsidRPr="00803685">
        <w:rPr>
          <w:rFonts w:ascii="Arial" w:hAnsi="Arial" w:cs="Arial"/>
          <w:sz w:val="18"/>
        </w:rPr>
        <w:t xml:space="preserve">Abbildung 1: Quelle: </w:t>
      </w:r>
      <w:r w:rsidRPr="00803685">
        <w:rPr>
          <w:rFonts w:ascii="Arial" w:hAnsi="Arial" w:cs="Arial"/>
          <w:b/>
          <w:sz w:val="18"/>
          <w:szCs w:val="18"/>
        </w:rPr>
        <w:t xml:space="preserve">© </w:t>
      </w:r>
      <w:proofErr w:type="spellStart"/>
      <w:r w:rsidRPr="00803685">
        <w:rPr>
          <w:rFonts w:ascii="Arial" w:hAnsi="Arial" w:cs="Arial"/>
          <w:sz w:val="18"/>
        </w:rPr>
        <w:t>Greefrath</w:t>
      </w:r>
      <w:proofErr w:type="spellEnd"/>
      <w:r w:rsidRPr="00803685">
        <w:rPr>
          <w:rFonts w:ascii="Arial" w:hAnsi="Arial" w:cs="Arial"/>
          <w:sz w:val="18"/>
        </w:rPr>
        <w:t>, Gilbert 2010: Didaktik des Sachrechnens in der Sekundarstufe; Heidelberg: Spektrum Akademischer Verlag; S.163</w:t>
      </w:r>
    </w:p>
    <w:p w:rsidR="00803685" w:rsidRPr="00803685" w:rsidRDefault="00803685" w:rsidP="00803685">
      <w:pPr>
        <w:rPr>
          <w:rFonts w:ascii="Arial" w:hAnsi="Arial" w:cs="Arial"/>
        </w:rPr>
      </w:pPr>
    </w:p>
    <w:p w:rsidR="00803685" w:rsidRPr="00803685" w:rsidRDefault="00803685" w:rsidP="00803685">
      <w:pPr>
        <w:pStyle w:val="IQB-Standard"/>
        <w:spacing w:before="120" w:after="120"/>
        <w:rPr>
          <w:rFonts w:cs="Arial"/>
          <w:sz w:val="22"/>
          <w:szCs w:val="22"/>
        </w:rPr>
      </w:pPr>
      <w:r w:rsidRPr="00803685">
        <w:rPr>
          <w:rFonts w:cs="Arial"/>
          <w:sz w:val="22"/>
          <w:szCs w:val="22"/>
        </w:rPr>
        <w:t>Das „Flatrate-Modell“ beschreibt eine Preisgestaltung, bei der z.</w:t>
      </w:r>
      <w:r w:rsidRPr="00803685">
        <w:rPr>
          <w:rFonts w:cs="Arial"/>
          <w:sz w:val="11"/>
          <w:szCs w:val="11"/>
        </w:rPr>
        <w:t xml:space="preserve"> </w:t>
      </w:r>
      <w:r w:rsidRPr="00803685">
        <w:rPr>
          <w:rFonts w:cs="Arial"/>
          <w:sz w:val="22"/>
          <w:szCs w:val="22"/>
        </w:rPr>
        <w:t>B. in einem Mobilfunkvertrag für einen festen Betrag eine beliebige Datenmenge übertragen werden kann. Ein passendes mathematisches Modell ist hier also eine konstante Funktion: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178"/>
      </w:tblGrid>
      <w:tr w:rsidR="00803685" w:rsidRPr="00803685" w:rsidTr="00430685">
        <w:tc>
          <w:tcPr>
            <w:tcW w:w="9178" w:type="dxa"/>
          </w:tcPr>
          <w:p w:rsidR="00803685" w:rsidRPr="00803685" w:rsidRDefault="00803685" w:rsidP="00430685">
            <w:pPr>
              <w:pStyle w:val="IQB-Standard"/>
              <w:keepNext/>
              <w:spacing w:before="120" w:after="120"/>
              <w:rPr>
                <w:rFonts w:cs="Arial"/>
                <w:sz w:val="22"/>
                <w:szCs w:val="22"/>
              </w:rPr>
            </w:pPr>
            <w:r w:rsidRPr="00803685">
              <w:rPr>
                <w:rFonts w:cs="Arial"/>
                <w:noProof/>
              </w:rPr>
              <mc:AlternateContent>
                <mc:Choice Requires="wps">
                  <w:drawing>
                    <wp:anchor distT="0" distB="0" distL="114297" distR="114297" simplePos="0" relativeHeight="251660288" behindDoc="0" locked="0" layoutInCell="1" allowOverlap="1">
                      <wp:simplePos x="0" y="0"/>
                      <wp:positionH relativeFrom="column">
                        <wp:posOffset>-127636</wp:posOffset>
                      </wp:positionH>
                      <wp:positionV relativeFrom="paragraph">
                        <wp:posOffset>-78740</wp:posOffset>
                      </wp:positionV>
                      <wp:extent cx="0" cy="2147570"/>
                      <wp:effectExtent l="19050" t="0" r="38100" b="43180"/>
                      <wp:wrapNone/>
                      <wp:docPr id="78" name="Gerader Verbinde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147570"/>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616CF74" id="Gerader Verbinder 78" o:spid="_x0000_s1026" style="position:absolute;z-index:25166028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05pt,-6.2pt" to="-10.05pt,16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" strokecolor="#bfbfbf" strokeweight="4.5pt">
                      <o:lock v:ext="edit" shapetype="f"/>
                    </v:line>
                  </w:pict>
                </mc:Fallback>
              </mc:AlternateContent>
            </w:r>
            <w:r w:rsidRPr="00803685">
              <w:rPr>
                <w:rFonts w:cs="Arial"/>
                <w:i/>
                <w:noProof/>
                <w:sz w:val="22"/>
                <w:szCs w:val="22"/>
              </w:rPr>
              <w:drawing>
                <wp:inline distT="0" distB="0" distL="0" distR="0">
                  <wp:extent cx="2019935" cy="1815465"/>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19935" cy="1815465"/>
                          </a:xfrm>
                          <a:prstGeom prst="rect">
                            <a:avLst/>
                          </a:prstGeom>
                          <a:noFill/>
                          <a:ln>
                            <a:noFill/>
                          </a:ln>
                        </pic:spPr>
                      </pic:pic>
                    </a:graphicData>
                  </a:graphic>
                </wp:inline>
              </w:drawing>
            </w:r>
          </w:p>
        </w:tc>
      </w:tr>
    </w:tbl>
    <w:p w:rsidR="00803685" w:rsidRPr="00803685" w:rsidRDefault="00803685" w:rsidP="00803685">
      <w:pPr>
        <w:rPr>
          <w:rFonts w:ascii="Arial" w:hAnsi="Arial" w:cs="Arial"/>
        </w:rPr>
      </w:pPr>
    </w:p>
    <w:p w:rsidR="00803685" w:rsidRPr="00803685" w:rsidRDefault="00803685" w:rsidP="00803685">
      <w:pPr>
        <w:rPr>
          <w:rFonts w:ascii="Arial" w:hAnsi="Arial" w:cs="Arial"/>
          <w:sz w:val="18"/>
        </w:rPr>
      </w:pPr>
      <w:r w:rsidRPr="00803685">
        <w:rPr>
          <w:rFonts w:ascii="Arial" w:hAnsi="Arial" w:cs="Arial"/>
          <w:sz w:val="18"/>
        </w:rPr>
        <w:t xml:space="preserve">Abbildung 2: Quelle: </w:t>
      </w:r>
      <w:r w:rsidRPr="00803685">
        <w:rPr>
          <w:rFonts w:ascii="Arial" w:hAnsi="Arial" w:cs="Arial"/>
          <w:b/>
          <w:sz w:val="18"/>
          <w:szCs w:val="18"/>
        </w:rPr>
        <w:t xml:space="preserve">© </w:t>
      </w:r>
      <w:proofErr w:type="spellStart"/>
      <w:r w:rsidRPr="00803685">
        <w:rPr>
          <w:rFonts w:ascii="Arial" w:hAnsi="Arial" w:cs="Arial"/>
          <w:sz w:val="18"/>
        </w:rPr>
        <w:t>Greefrath</w:t>
      </w:r>
      <w:proofErr w:type="spellEnd"/>
      <w:r w:rsidRPr="00803685">
        <w:rPr>
          <w:rFonts w:ascii="Arial" w:hAnsi="Arial" w:cs="Arial"/>
          <w:sz w:val="18"/>
        </w:rPr>
        <w:t>, Gilbert 2010: Didaktik des Sachrechnens in der Sekundarstufe; Heidelberg: Spektrum Akademischer Verlag; S.164</w:t>
      </w:r>
    </w:p>
    <w:p w:rsidR="00803685" w:rsidRPr="00803685" w:rsidRDefault="00803685" w:rsidP="00803685">
      <w:pPr>
        <w:rPr>
          <w:rFonts w:ascii="Arial" w:hAnsi="Arial" w:cs="Arial"/>
        </w:rPr>
      </w:pPr>
    </w:p>
    <w:p w:rsidR="00803685" w:rsidRPr="00803685" w:rsidRDefault="00803685" w:rsidP="00803685">
      <w:pPr>
        <w:pStyle w:val="IQB-Standard"/>
        <w:spacing w:before="120" w:after="120"/>
        <w:rPr>
          <w:rFonts w:cs="Arial"/>
          <w:sz w:val="22"/>
          <w:szCs w:val="22"/>
        </w:rPr>
      </w:pPr>
      <w:r w:rsidRPr="00803685">
        <w:rPr>
          <w:rFonts w:cs="Arial"/>
          <w:sz w:val="22"/>
          <w:szCs w:val="22"/>
        </w:rPr>
        <w:t>Im „Strommodell“ ergibt sich der Gesamtpreis aus einer festen Grundgebühr und einem verbrauchsabhängigen Betrag. Ein solches Preismodell kann durch eine lineare Funktion beschrieben werden, die nicht durch den Ursprung verläuft: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178"/>
      </w:tblGrid>
      <w:tr w:rsidR="00803685" w:rsidRPr="00803685" w:rsidTr="00430685">
        <w:tc>
          <w:tcPr>
            <w:tcW w:w="9178" w:type="dxa"/>
          </w:tcPr>
          <w:p w:rsidR="00803685" w:rsidRPr="00803685" w:rsidRDefault="00803685" w:rsidP="00430685">
            <w:pPr>
              <w:pStyle w:val="IQB-Standard"/>
              <w:keepNext/>
              <w:spacing w:before="120" w:after="120"/>
              <w:rPr>
                <w:rFonts w:cs="Arial"/>
                <w:sz w:val="22"/>
                <w:szCs w:val="22"/>
              </w:rPr>
            </w:pPr>
            <w:r w:rsidRPr="00803685">
              <w:rPr>
                <w:rFonts w:cs="Arial"/>
                <w:noProof/>
              </w:rPr>
              <mc:AlternateContent>
                <mc:Choice Requires="wps">
                  <w:drawing>
                    <wp:anchor distT="0" distB="0" distL="114297" distR="114297" simplePos="0" relativeHeight="251661312" behindDoc="0" locked="0" layoutInCell="1" allowOverlap="1">
                      <wp:simplePos x="0" y="0"/>
                      <wp:positionH relativeFrom="column">
                        <wp:posOffset>-121921</wp:posOffset>
                      </wp:positionH>
                      <wp:positionV relativeFrom="paragraph">
                        <wp:posOffset>-63500</wp:posOffset>
                      </wp:positionV>
                      <wp:extent cx="0" cy="2078990"/>
                      <wp:effectExtent l="19050" t="0" r="38100" b="54610"/>
                      <wp:wrapNone/>
                      <wp:docPr id="77" name="Gerader Verbinde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78990"/>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6D668CE" id="Gerader Verbinder 77" o:spid="_x0000_s1026" style="position:absolute;z-index:25166131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9.6pt,-5pt" to="-9.6pt,15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" strokecolor="#bfbfbf" strokeweight="4.5pt">
                      <o:lock v:ext="edit" shapetype="f"/>
                    </v:line>
                  </w:pict>
                </mc:Fallback>
              </mc:AlternateContent>
            </w:r>
            <w:r w:rsidRPr="00803685">
              <w:rPr>
                <w:rFonts w:cs="Arial"/>
                <w:noProof/>
                <w:sz w:val="22"/>
                <w:szCs w:val="22"/>
              </w:rPr>
              <w:drawing>
                <wp:inline distT="0" distB="0" distL="0" distR="0">
                  <wp:extent cx="2060575" cy="176085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60575" cy="1760855"/>
                          </a:xfrm>
                          <a:prstGeom prst="rect">
                            <a:avLst/>
                          </a:prstGeom>
                          <a:noFill/>
                          <a:ln>
                            <a:noFill/>
                          </a:ln>
                        </pic:spPr>
                      </pic:pic>
                    </a:graphicData>
                  </a:graphic>
                </wp:inline>
              </w:drawing>
            </w:r>
          </w:p>
        </w:tc>
      </w:tr>
    </w:tbl>
    <w:p w:rsidR="00803685" w:rsidRPr="00803685" w:rsidRDefault="00803685" w:rsidP="00803685">
      <w:pPr>
        <w:rPr>
          <w:rFonts w:ascii="Arial" w:hAnsi="Arial" w:cs="Arial"/>
        </w:rPr>
      </w:pPr>
    </w:p>
    <w:p w:rsidR="00803685" w:rsidRPr="00803685" w:rsidRDefault="00803685" w:rsidP="00803685">
      <w:pPr>
        <w:rPr>
          <w:rFonts w:ascii="Arial" w:hAnsi="Arial" w:cs="Arial"/>
          <w:sz w:val="18"/>
        </w:rPr>
      </w:pPr>
      <w:r w:rsidRPr="00803685">
        <w:rPr>
          <w:rFonts w:ascii="Arial" w:hAnsi="Arial" w:cs="Arial"/>
          <w:sz w:val="18"/>
        </w:rPr>
        <w:t xml:space="preserve">Abbildung 3: Quelle: </w:t>
      </w:r>
      <w:r w:rsidRPr="00803685">
        <w:rPr>
          <w:rFonts w:ascii="Arial" w:hAnsi="Arial" w:cs="Arial"/>
          <w:b/>
          <w:sz w:val="18"/>
          <w:szCs w:val="18"/>
        </w:rPr>
        <w:t xml:space="preserve">© </w:t>
      </w:r>
      <w:proofErr w:type="spellStart"/>
      <w:r w:rsidRPr="00803685">
        <w:rPr>
          <w:rFonts w:ascii="Arial" w:hAnsi="Arial" w:cs="Arial"/>
          <w:sz w:val="18"/>
        </w:rPr>
        <w:t>Greefrath</w:t>
      </w:r>
      <w:proofErr w:type="spellEnd"/>
      <w:r w:rsidRPr="00803685">
        <w:rPr>
          <w:rFonts w:ascii="Arial" w:hAnsi="Arial" w:cs="Arial"/>
          <w:sz w:val="18"/>
        </w:rPr>
        <w:t>, Gilbert 2010: Didaktik des Sachrechnens in der Sekundarstufe; Heidelberg: Spektrum Akademischer Verlag; S.164</w:t>
      </w:r>
    </w:p>
    <w:p w:rsidR="00803685" w:rsidRPr="00803685" w:rsidRDefault="00803685" w:rsidP="00803685">
      <w:pPr>
        <w:rPr>
          <w:rFonts w:ascii="Arial" w:hAnsi="Arial" w:cs="Arial"/>
        </w:rPr>
      </w:pPr>
    </w:p>
    <w:p w:rsidR="00803685" w:rsidRPr="00803685" w:rsidRDefault="00803685" w:rsidP="00803685">
      <w:pPr>
        <w:pStyle w:val="IQB-Standard"/>
        <w:spacing w:before="120" w:after="120"/>
        <w:rPr>
          <w:rFonts w:cs="Arial"/>
          <w:sz w:val="22"/>
          <w:szCs w:val="22"/>
        </w:rPr>
      </w:pPr>
      <w:r w:rsidRPr="00803685">
        <w:rPr>
          <w:rFonts w:cs="Arial"/>
          <w:sz w:val="22"/>
          <w:szCs w:val="22"/>
        </w:rPr>
        <w:t>Das „Heizölmodell“ geht von einem mit zunehmendem Verbrauch proportional wachsenden Preis aus, berücksichtigt aber auch Rabatte. Das passende mathematische Modell ist hier eine stückweise lineare Funktion: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178"/>
      </w:tblGrid>
      <w:tr w:rsidR="00803685" w:rsidRPr="00803685" w:rsidTr="00430685">
        <w:tc>
          <w:tcPr>
            <w:tcW w:w="9178" w:type="dxa"/>
          </w:tcPr>
          <w:p w:rsidR="00803685" w:rsidRPr="00803685" w:rsidRDefault="00803685" w:rsidP="00430685">
            <w:pPr>
              <w:pStyle w:val="IQB-Standard"/>
              <w:keepNext/>
              <w:spacing w:before="120" w:after="120"/>
              <w:rPr>
                <w:rFonts w:cs="Arial"/>
                <w:sz w:val="22"/>
                <w:szCs w:val="22"/>
              </w:rPr>
            </w:pPr>
            <w:r w:rsidRPr="00803685">
              <w:rPr>
                <w:rFonts w:cs="Arial"/>
                <w:noProof/>
              </w:rPr>
              <mc:AlternateContent>
                <mc:Choice Requires="wps">
                  <w:drawing>
                    <wp:anchor distT="0" distB="0" distL="114297" distR="114297" simplePos="0" relativeHeight="251662336" behindDoc="0" locked="0" layoutInCell="1" allowOverlap="1">
                      <wp:simplePos x="0" y="0"/>
                      <wp:positionH relativeFrom="column">
                        <wp:posOffset>-125731</wp:posOffset>
                      </wp:positionH>
                      <wp:positionV relativeFrom="paragraph">
                        <wp:posOffset>-79375</wp:posOffset>
                      </wp:positionV>
                      <wp:extent cx="0" cy="2009775"/>
                      <wp:effectExtent l="19050" t="0" r="38100" b="47625"/>
                      <wp:wrapNone/>
                      <wp:docPr id="76" name="Gerader Verbinde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09775"/>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BD1F2D9" id="Gerader Verbinder 76" o:spid="_x0000_s1026" style="position:absolute;z-index:25166233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9.9pt,-6.25pt" to="-9.9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" strokecolor="#bfbfbf" strokeweight="4.5pt">
                      <o:lock v:ext="edit" shapetype="f"/>
                    </v:line>
                  </w:pict>
                </mc:Fallback>
              </mc:AlternateContent>
            </w:r>
            <w:r w:rsidRPr="00803685">
              <w:rPr>
                <w:rFonts w:cs="Arial"/>
                <w:noProof/>
                <w:sz w:val="22"/>
                <w:szCs w:val="22"/>
              </w:rPr>
              <w:drawing>
                <wp:inline distT="0" distB="0" distL="0" distR="0">
                  <wp:extent cx="1924050" cy="1706245"/>
                  <wp:effectExtent l="0" t="0" r="0" b="825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24050" cy="1706245"/>
                          </a:xfrm>
                          <a:prstGeom prst="rect">
                            <a:avLst/>
                          </a:prstGeom>
                          <a:noFill/>
                          <a:ln>
                            <a:noFill/>
                          </a:ln>
                        </pic:spPr>
                      </pic:pic>
                    </a:graphicData>
                  </a:graphic>
                </wp:inline>
              </w:drawing>
            </w:r>
          </w:p>
        </w:tc>
      </w:tr>
    </w:tbl>
    <w:p w:rsidR="00803685" w:rsidRPr="00803685" w:rsidRDefault="00803685" w:rsidP="00803685">
      <w:pPr>
        <w:rPr>
          <w:rFonts w:ascii="Arial" w:hAnsi="Arial" w:cs="Arial"/>
        </w:rPr>
      </w:pPr>
    </w:p>
    <w:p w:rsidR="00803685" w:rsidRPr="00803685" w:rsidRDefault="00803685" w:rsidP="00803685">
      <w:pPr>
        <w:rPr>
          <w:rFonts w:ascii="Arial" w:hAnsi="Arial" w:cs="Arial"/>
          <w:sz w:val="18"/>
        </w:rPr>
      </w:pPr>
      <w:r w:rsidRPr="00803685">
        <w:rPr>
          <w:rFonts w:ascii="Arial" w:hAnsi="Arial" w:cs="Arial"/>
          <w:sz w:val="18"/>
        </w:rPr>
        <w:t xml:space="preserve">Abbildung 4: Quelle: </w:t>
      </w:r>
      <w:r w:rsidRPr="00803685">
        <w:rPr>
          <w:rFonts w:ascii="Arial" w:hAnsi="Arial" w:cs="Arial"/>
          <w:b/>
          <w:sz w:val="18"/>
          <w:szCs w:val="18"/>
        </w:rPr>
        <w:t xml:space="preserve">© </w:t>
      </w:r>
      <w:proofErr w:type="spellStart"/>
      <w:r w:rsidRPr="00803685">
        <w:rPr>
          <w:rFonts w:ascii="Arial" w:hAnsi="Arial" w:cs="Arial"/>
          <w:sz w:val="18"/>
        </w:rPr>
        <w:t>Greefrath</w:t>
      </w:r>
      <w:proofErr w:type="spellEnd"/>
      <w:r w:rsidRPr="00803685">
        <w:rPr>
          <w:rFonts w:ascii="Arial" w:hAnsi="Arial" w:cs="Arial"/>
          <w:sz w:val="18"/>
        </w:rPr>
        <w:t>, Gilbert 2010: Didaktik des Sachrechnens in der Sekundarstufe; Heidelberg: Spektrum Akademischer Verlag; S.165</w:t>
      </w:r>
    </w:p>
    <w:p w:rsidR="00803685" w:rsidRPr="00803685" w:rsidRDefault="00803685" w:rsidP="00803685">
      <w:pPr>
        <w:rPr>
          <w:rFonts w:ascii="Arial" w:hAnsi="Arial" w:cs="Arial"/>
        </w:rPr>
      </w:pPr>
    </w:p>
    <w:p w:rsidR="00694A63" w:rsidRPr="00803685" w:rsidRDefault="00803685" w:rsidP="00803685">
      <w:pPr>
        <w:spacing w:before="60"/>
        <w:rPr>
          <w:rFonts w:ascii="Arial" w:hAnsi="Arial" w:cs="Arial"/>
          <w:sz w:val="22"/>
          <w:szCs w:val="22"/>
        </w:rPr>
      </w:pPr>
      <w:r w:rsidRPr="00803685">
        <w:rPr>
          <w:rFonts w:ascii="Arial" w:hAnsi="Arial" w:cs="Arial"/>
          <w:sz w:val="22"/>
          <w:szCs w:val="22"/>
        </w:rPr>
        <w:t>Im Unterricht könnten die Schülerinnen und Schüler etwa dazu aufgefordert werden, die obigen Graphen vor dem Hintergrund einer Preisgestaltung zu interpretieren und jeweils konkrete Beispiele aus ihrer Erfahrungswelt anzugeben.</w:t>
      </w:r>
      <w:bookmarkStart w:id="0" w:name="_GoBack"/>
      <w:bookmarkEnd w:id="0"/>
    </w:p>
    <w:sectPr w:rsidR="00694A63" w:rsidRPr="00803685" w:rsidSect="00DB65DC">
      <w:headerReference w:type="even" r:id="rId16"/>
      <w:headerReference w:type="default" r:id="rId17"/>
      <w:footerReference w:type="even" r:id="rId18"/>
      <w:footerReference w:type="default" r:id="rId19"/>
      <w:headerReference w:type="first" r:id="rId20"/>
      <w:footerReference w:type="first" r:id="rId21"/>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7B72AB1C-CB3D-4687-A52A-C95535AE8746}"/>
    <w:embedBold r:id="rId2" w:fontKey="{01769880-01A9-450C-BCD7-F32F91AD32A6}"/>
    <w:embedItalic r:id="rId3" w:fontKey="{0D3B8EF2-5286-4C77-A854-83CF04F02F3F}"/>
    <w:embedBoldItalic r:id="rId4" w:fontKey="{2F0ED2D0-24D5-45C1-91CA-F5A8A7347D65}"/>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
  </w:num>
  <w:num w:numId="3">
    <w:abstractNumId w:val="0"/>
  </w:num>
  <w:num w:numId="4">
    <w:abstractNumId w:val="8"/>
  </w:num>
  <w:num w:numId="5">
    <w:abstractNumId w:val="5"/>
  </w:num>
  <w:num w:numId="6">
    <w:abstractNumId w:val="6"/>
  </w:num>
  <w:num w:numId="7">
    <w:abstractNumId w:val="3"/>
  </w:num>
  <w:num w:numId="8">
    <w:abstractNumId w:val="1"/>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819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3685"/>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94169"/>
    <w:rsid w:val="00DA5629"/>
    <w:rsid w:val="00DB65DC"/>
    <w:rsid w:val="00DD3C5F"/>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21"/>
    <o:shapelayout v:ext="edit">
      <o:idmap v:ext="edit" data="1"/>
    </o:shapelayout>
  </w:shapeDefaults>
  <w:decimalSymbol w:val=","/>
  <w:listSeparator w:val=";"/>
  <w14:docId w14:val="3E4C346D"/>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A169F0-2968-428C-9645-0B54B68CD8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797</Words>
  <Characters>5387</Characters>
  <Application>Microsoft Office Word</Application>
  <DocSecurity>0</DocSecurity>
  <Lines>199</Lines>
  <Paragraphs>134</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6050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2025-06-03T14:46:00Z</dcterms:created>
  <dcterms:modified xsi:type="dcterms:W3CDTF">2025-06-03T14:46:00Z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